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512F6A8D"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B223CB">
              <w:rPr>
                <w:rFonts w:ascii="Times New Roman" w:eastAsia="Calibri" w:hAnsi="Times New Roman" w:cs="Times New Roman"/>
                <w:lang w:eastAsia="lv-LV"/>
              </w:rPr>
              <w:t>8</w:t>
            </w:r>
            <w:r w:rsidR="002C1ED2">
              <w:rPr>
                <w:rFonts w:ascii="Times New Roman" w:eastAsia="Calibri" w:hAnsi="Times New Roman" w:cs="Times New Roman"/>
                <w:lang w:eastAsia="lv-LV"/>
              </w:rPr>
              <w:t>.janvāra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71394BF"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2C1ED2">
        <w:rPr>
          <w:rFonts w:ascii="Times New Roman" w:eastAsia="Calibri" w:hAnsi="Times New Roman" w:cs="Times New Roman"/>
          <w:b/>
          <w:lang w:eastAsia="lv-LV"/>
        </w:rPr>
        <w:t>AS OŪS 2024/01_E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1C96F055"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24974">
        <w:rPr>
          <w:rFonts w:ascii="Times New Roman" w:eastAsia="Calibri" w:hAnsi="Times New Roman" w:cs="Times New Roman"/>
          <w:b/>
          <w:lang w:eastAsia="lv-LV"/>
        </w:rPr>
        <w:t xml:space="preserve">Zemgales iela </w:t>
      </w:r>
      <w:r w:rsidR="002C1ED2">
        <w:rPr>
          <w:rFonts w:ascii="Times New Roman" w:eastAsia="Calibri" w:hAnsi="Times New Roman" w:cs="Times New Roman"/>
          <w:b/>
          <w:lang w:eastAsia="lv-LV"/>
        </w:rPr>
        <w:t>41</w:t>
      </w:r>
      <w:r w:rsidR="00524974">
        <w:rPr>
          <w:rFonts w:ascii="Times New Roman" w:eastAsia="Calibri" w:hAnsi="Times New Roman" w:cs="Times New Roman"/>
          <w:b/>
          <w:lang w:eastAsia="lv-LV"/>
        </w:rPr>
        <w:t>,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5431B341"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2C1ED2">
        <w:rPr>
          <w:rFonts w:ascii="Times New Roman" w:eastAsia="Calibri" w:hAnsi="Times New Roman" w:cs="Times New Roman"/>
          <w:i/>
          <w:lang w:eastAsia="lv-LV"/>
        </w:rPr>
        <w:t>Zemgales iela 41</w:t>
      </w:r>
      <w:r w:rsidR="00524974">
        <w:rPr>
          <w:rFonts w:ascii="Times New Roman" w:eastAsia="Calibri" w:hAnsi="Times New Roman" w:cs="Times New Roman"/>
          <w:i/>
          <w:lang w:eastAsia="lv-LV"/>
        </w:rPr>
        <w:t>,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00F6174B"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2C1ED2">
        <w:rPr>
          <w:rFonts w:ascii="Times New Roman" w:eastAsia="Calibri" w:hAnsi="Times New Roman" w:cs="Times New Roman"/>
          <w:i/>
          <w:lang w:eastAsia="lv-LV"/>
        </w:rPr>
        <w:t>Zemgales iela 41</w:t>
      </w:r>
      <w:r w:rsidR="00524974">
        <w:rPr>
          <w:rFonts w:ascii="Times New Roman" w:eastAsia="Calibri" w:hAnsi="Times New Roman" w:cs="Times New Roman"/>
          <w:i/>
          <w:lang w:eastAsia="lv-LV"/>
        </w:rPr>
        <w:t>,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2C1ED2">
        <w:rPr>
          <w:rFonts w:ascii="Times New Roman" w:eastAsia="Calibri" w:hAnsi="Times New Roman" w:cs="Times New Roman"/>
          <w:lang w:eastAsia="lv-LV"/>
        </w:rPr>
        <w:t>DME 2-165</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19121C6C"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2C1ED2">
        <w:rPr>
          <w:rFonts w:ascii="Times New Roman" w:eastAsia="Calibri" w:hAnsi="Times New Roman" w:cs="Times New Roman"/>
          <w:b/>
          <w:bCs/>
          <w:lang w:eastAsia="lv-LV"/>
        </w:rPr>
        <w:t>7.februārim</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7863D453"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2C1ED2">
        <w:rPr>
          <w:rFonts w:ascii="Times New Roman" w:eastAsia="Calibri" w:hAnsi="Times New Roman" w:cs="Times New Roman"/>
          <w:lang w:eastAsia="lv-LV"/>
        </w:rPr>
        <w:t>Zemgales iela 41</w:t>
      </w:r>
      <w:r w:rsidR="00524974">
        <w:rPr>
          <w:rFonts w:ascii="Times New Roman" w:eastAsia="Calibri" w:hAnsi="Times New Roman" w:cs="Times New Roman"/>
          <w:lang w:eastAsia="lv-LV"/>
        </w:rPr>
        <w:t>,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7ADAA183"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2C1ED2">
        <w:rPr>
          <w:rFonts w:ascii="Times New Roman" w:hAnsi="Times New Roman" w:cs="Times New Roman"/>
        </w:rPr>
        <w:t>AS OŪS 2024/01_E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301475"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lastRenderedPageBreak/>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C90185">
        <w:rPr>
          <w:rFonts w:ascii="Times New Roman" w:hAnsi="Times New Roman" w:cs="Times New Roman"/>
        </w:rPr>
        <w:t>Būvizmaksu</w:t>
      </w:r>
      <w:proofErr w:type="spellEnd"/>
      <w:r w:rsidR="006C4E2A" w:rsidRPr="00C90185">
        <w:rPr>
          <w:rFonts w:ascii="Times New Roman" w:hAnsi="Times New Roman" w:cs="Times New Roman"/>
        </w:rPr>
        <w:t xml:space="preserve"> noteikšanas tāmes veidne”  izslēdzot darbu apjomus visas lokālās tāmes ietvaros, šādā prioritārā secībā:</w:t>
      </w:r>
    </w:p>
    <w:p w14:paraId="59DE8D1A" w14:textId="5768E804" w:rsidR="00FD7EB1" w:rsidRPr="00C90185" w:rsidRDefault="00FD7EB1" w:rsidP="009D02CF">
      <w:pPr>
        <w:pStyle w:val="Sarakstarindkopa"/>
        <w:numPr>
          <w:ilvl w:val="0"/>
          <w:numId w:val="53"/>
        </w:numPr>
        <w:spacing w:after="0" w:line="240" w:lineRule="auto"/>
        <w:jc w:val="both"/>
        <w:rPr>
          <w:rFonts w:ascii="Times New Roman" w:hAnsi="Times New Roman" w:cs="Times New Roman"/>
        </w:rPr>
      </w:pPr>
      <w:r w:rsidRPr="00FD7EB1">
        <w:rPr>
          <w:rFonts w:ascii="Times New Roman" w:hAnsi="Times New Roman" w:cs="Times New Roman"/>
        </w:rPr>
        <w:t>Lokālās tāmes “</w:t>
      </w:r>
      <w:r>
        <w:rPr>
          <w:rFonts w:ascii="Times New Roman" w:hAnsi="Times New Roman" w:cs="Times New Roman"/>
        </w:rPr>
        <w:t>Iekštelpu darbi</w:t>
      </w:r>
      <w:r w:rsidRPr="00FD7EB1">
        <w:rPr>
          <w:rFonts w:ascii="Times New Roman" w:hAnsi="Times New Roman" w:cs="Times New Roman"/>
        </w:rPr>
        <w:t>”</w:t>
      </w:r>
      <w:r>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lastRenderedPageBreak/>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048D145D"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2C1ED2">
        <w:rPr>
          <w:rFonts w:ascii="Times New Roman" w:hAnsi="Times New Roman" w:cs="Times New Roman"/>
        </w:rPr>
        <w:t>Zemgales iela 41</w:t>
      </w:r>
      <w:r w:rsidR="00524974">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48B0E341"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732B64D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2C1ED2">
        <w:rPr>
          <w:rFonts w:ascii="Times New Roman" w:hAnsi="Times New Roman" w:cs="Times New Roman"/>
        </w:rPr>
        <w:t>Zemgales iela 41</w:t>
      </w:r>
      <w:r w:rsidR="00524974">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52A3FE4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6FCADD6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0C32BD82"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2E862E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383118B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05466EC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48DDF59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1410121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2FF333F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4B79CD0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4FF3BD0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0AE3462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2C1ED2">
        <w:rPr>
          <w:rFonts w:ascii="Times New Roman" w:hAnsi="Times New Roman" w:cs="Times New Roman"/>
          <w:szCs w:val="24"/>
        </w:rPr>
        <w:t>Zemgales iela 41</w:t>
      </w:r>
      <w:r w:rsidR="0052497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2230146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C1ED2">
        <w:rPr>
          <w:rFonts w:ascii="Times New Roman" w:hAnsi="Times New Roman" w:cs="Times New Roman"/>
          <w:szCs w:val="24"/>
        </w:rPr>
        <w:t>AS OŪS 2024/01_E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301475"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301475"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301475"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301475"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w:t>
      </w:r>
      <w:r w:rsidRPr="006C6903">
        <w:t xml:space="preserve">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59</Pages>
  <Words>97877</Words>
  <Characters>55790</Characters>
  <Application>Microsoft Office Word</Application>
  <DocSecurity>0</DocSecurity>
  <Lines>464</Lines>
  <Paragraphs>306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30</cp:revision>
  <cp:lastPrinted>2024-01-08T14:43:00Z</cp:lastPrinted>
  <dcterms:created xsi:type="dcterms:W3CDTF">2023-06-05T10:16:00Z</dcterms:created>
  <dcterms:modified xsi:type="dcterms:W3CDTF">2024-01-08T14:43:00Z</dcterms:modified>
</cp:coreProperties>
</file>